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8" w:rsidRPr="002617C8" w:rsidRDefault="002617C8" w:rsidP="002617C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z w:val="22"/>
          <w:szCs w:val="17"/>
        </w:rPr>
      </w:pPr>
      <w:r w:rsidRPr="002617C8">
        <w:rPr>
          <w:rStyle w:val="Gl"/>
          <w:rFonts w:ascii="Arial" w:hAnsi="Arial" w:cs="Arial"/>
          <w:color w:val="FF0000"/>
          <w:sz w:val="22"/>
          <w:szCs w:val="17"/>
        </w:rPr>
        <w:t>7.1. MELEK VE AHİRET İNANCI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Ünite Açıklaması</w:t>
      </w:r>
      <w:r>
        <w:rPr>
          <w:rFonts w:ascii="Arial" w:hAnsi="Arial" w:cs="Arial"/>
          <w:color w:val="333333"/>
          <w:sz w:val="17"/>
          <w:szCs w:val="17"/>
        </w:rPr>
        <w:br/>
        <w:t xml:space="preserve">Bu ünitede sırasıyla; “Görülen ve Görülemeyen Varlıklar”, “Melekler ve Özellikleri”, “Dünya ve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Hayatı”, “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Hayatının Aşamaları”, “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İnancının İnsan Davranışlarına Etkisi”, “Bir Peygamber Tanıyorum: Hz. İsa (a.s.)”, “Bir Sure Tanıyorum: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Nâs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Suresi ve Anlamı” konularına yer verilir.</w:t>
      </w:r>
      <w:r>
        <w:rPr>
          <w:rFonts w:ascii="Arial" w:hAnsi="Arial" w:cs="Arial"/>
          <w:color w:val="333333"/>
          <w:sz w:val="17"/>
          <w:szCs w:val="17"/>
        </w:rPr>
        <w:br/>
        <w:t>Ünite genelinde ayet ve hadisler başta olmak üzere, düzeye uygun edebî metinlerden yararlanılır. Konular ele alınırken öğrencilerin tecrübelerini, hazır bulunuşluk düzeylerini ve seviyelerini dikkate alan; dinin sevgi boyutunu öne çıkaran; müsamahakâr, tedriciliği önceleyen ve onların dikkatini çevresine yönlendiren bir yaklaşım benimsenir.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Kazanım ve Açıklamaları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7.1.1. Varlıklar âlemini özelliklerine göre ayırt eder.</w:t>
      </w:r>
      <w:r>
        <w:rPr>
          <w:rFonts w:ascii="Arial" w:hAnsi="Arial" w:cs="Arial"/>
          <w:b/>
          <w:bCs/>
          <w:color w:val="333333"/>
          <w:sz w:val="17"/>
          <w:szCs w:val="17"/>
        </w:rPr>
        <w:br/>
      </w:r>
      <w:r>
        <w:rPr>
          <w:rStyle w:val="Gl"/>
          <w:rFonts w:ascii="Arial" w:hAnsi="Arial" w:cs="Arial"/>
          <w:color w:val="333333"/>
          <w:sz w:val="17"/>
          <w:szCs w:val="17"/>
        </w:rPr>
        <w:t>- </w:t>
      </w:r>
      <w:r>
        <w:rPr>
          <w:rFonts w:ascii="Arial" w:hAnsi="Arial" w:cs="Arial"/>
          <w:color w:val="333333"/>
          <w:sz w:val="17"/>
          <w:szCs w:val="17"/>
        </w:rPr>
        <w:t>Öğrenci seviyesi göz önünde bulundurularak ayrıntıya girilmeden cinlerden de bahsedilir. Bu kapsamda; öğrencilerin sahip olduğu yanlış veya eksik dinî bilgi ve anlayışlar, dinî ilimlerin ortaya koyduğu veriler ışığında ele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7.1.2. Melekleri özellikleri ve görevlerine göre sınıflandırır.</w:t>
      </w:r>
      <w:r>
        <w:rPr>
          <w:rFonts w:ascii="Arial" w:hAnsi="Arial" w:cs="Arial"/>
          <w:color w:val="333333"/>
          <w:sz w:val="17"/>
          <w:szCs w:val="17"/>
        </w:rPr>
        <w:br/>
        <w:t>- Konu; dört büyük melek, yazıcı, koruyucu, rahmet ve sorgu melekleri ile sınırlandırılır.</w:t>
      </w:r>
      <w:r>
        <w:rPr>
          <w:rFonts w:ascii="Arial" w:hAnsi="Arial" w:cs="Arial"/>
          <w:color w:val="333333"/>
          <w:sz w:val="17"/>
          <w:szCs w:val="17"/>
        </w:rPr>
        <w:br/>
        <w:t>- İslam dininde melek inancının önemine; meleklerin, güzel ahlaklı insanlar için daima hayırlı olan şeyleri istediklerine ve onlara dua ettiklerine değinilir; melek inancının, davranışları güzelleştirmedeki rolüne vurgu yapılır.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 xml:space="preserve">7.1.3. Dünya hayatı ile </w:t>
      </w:r>
      <w:proofErr w:type="spellStart"/>
      <w:r>
        <w:rPr>
          <w:rStyle w:val="Gl"/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Style w:val="Gl"/>
          <w:rFonts w:ascii="Arial" w:hAnsi="Arial" w:cs="Arial"/>
          <w:color w:val="333333"/>
          <w:sz w:val="17"/>
          <w:szCs w:val="17"/>
        </w:rPr>
        <w:t xml:space="preserve"> hayatı arasındaki ilişkiyi yorumlar.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 xml:space="preserve">7.1.4. </w:t>
      </w:r>
      <w:proofErr w:type="spellStart"/>
      <w:r>
        <w:rPr>
          <w:rStyle w:val="Gl"/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Style w:val="Gl"/>
          <w:rFonts w:ascii="Arial" w:hAnsi="Arial" w:cs="Arial"/>
          <w:color w:val="333333"/>
          <w:sz w:val="17"/>
          <w:szCs w:val="17"/>
        </w:rPr>
        <w:t xml:space="preserve"> hayatının aşamalarını açıklar.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hayatının aşamalarında; ölüm, kıyamet, diriliş, mahşer, hesap, mizan, cennet ve cehennem ele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 xml:space="preserve">7.1.5. Allah’ın (c.c.) adil, merhametli ve affedici olması ile </w:t>
      </w:r>
      <w:proofErr w:type="spellStart"/>
      <w:r>
        <w:rPr>
          <w:rStyle w:val="Gl"/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Style w:val="Gl"/>
          <w:rFonts w:ascii="Arial" w:hAnsi="Arial" w:cs="Arial"/>
          <w:color w:val="333333"/>
          <w:sz w:val="17"/>
          <w:szCs w:val="17"/>
        </w:rPr>
        <w:t xml:space="preserve"> inancı arasında ilişki kurar.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7.1.6. Hz. İsa’nın (a.s.) hayatını ana hatlarıyla tanır.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Hz. Meryem’den (r.a.) kısaca bahsedilir; kazanım, sahih kaynaklarda yer alan rivayetler ışığında ayrıntıya girilmeden ve öğrenci düzeyi dikkate alınarak ele alınır.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Mâide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ve Meryem suresindeki ilgili ayetler ile sınırlandırılır.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 xml:space="preserve">7.1.7. </w:t>
      </w:r>
      <w:proofErr w:type="spellStart"/>
      <w:r>
        <w:rPr>
          <w:rStyle w:val="Gl"/>
          <w:rFonts w:ascii="Arial" w:hAnsi="Arial" w:cs="Arial"/>
          <w:color w:val="333333"/>
          <w:sz w:val="17"/>
          <w:szCs w:val="17"/>
        </w:rPr>
        <w:t>Nâs</w:t>
      </w:r>
      <w:proofErr w:type="spellEnd"/>
      <w:r>
        <w:rPr>
          <w:rStyle w:val="Gl"/>
          <w:rFonts w:ascii="Arial" w:hAnsi="Arial" w:cs="Arial"/>
          <w:color w:val="333333"/>
          <w:sz w:val="17"/>
          <w:szCs w:val="17"/>
        </w:rPr>
        <w:t xml:space="preserve"> suresini okur, anlamını söyler.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Nâs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suresi ile ilgili kısa açıklamalara yer verilir; surede verilen mesajlar belirlenir ve surenin nerelerde okunduğuna değinilir.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Anahtar Kavramlar</w:t>
      </w:r>
      <w:r>
        <w:rPr>
          <w:rFonts w:ascii="Arial" w:hAnsi="Arial" w:cs="Arial"/>
          <w:color w:val="333333"/>
          <w:sz w:val="17"/>
          <w:szCs w:val="17"/>
        </w:rPr>
        <w:br/>
        <w:t xml:space="preserve">âlem,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gayb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melek, cin, şeytan,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ahiret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 </w:t>
      </w:r>
    </w:p>
    <w:p w:rsidR="002617C8" w:rsidRPr="002617C8" w:rsidRDefault="002617C8" w:rsidP="002617C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z w:val="22"/>
          <w:szCs w:val="17"/>
        </w:rPr>
      </w:pPr>
      <w:r w:rsidRPr="002617C8">
        <w:rPr>
          <w:rStyle w:val="Gl"/>
          <w:rFonts w:ascii="Arial" w:hAnsi="Arial" w:cs="Arial"/>
          <w:color w:val="FF0000"/>
          <w:sz w:val="22"/>
          <w:szCs w:val="17"/>
        </w:rPr>
        <w:t>7.2. HAC VE KURBAN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Ünite Açıklaması</w:t>
      </w:r>
      <w:r>
        <w:rPr>
          <w:rFonts w:ascii="Arial" w:hAnsi="Arial" w:cs="Arial"/>
          <w:color w:val="333333"/>
          <w:sz w:val="17"/>
          <w:szCs w:val="17"/>
        </w:rPr>
        <w:br/>
        <w:t xml:space="preserve">Bu ünitede sırasıyla; “İslam’da Hac İbadeti ve Önemi”, “Haccın Yapılışı”, “Umre ve Önemi”, “Kurban İbadeti ve Önemi”, “Bir Peygamber Tanıyorum: Hz. İsmail (a.s.)”, “Bir Ayet Tanıyorum: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En’âm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Suresi 162. Ayet ve Anlamı” konularına yer verilir.</w:t>
      </w:r>
      <w:r>
        <w:rPr>
          <w:rFonts w:ascii="Arial" w:hAnsi="Arial" w:cs="Arial"/>
          <w:color w:val="333333"/>
          <w:sz w:val="17"/>
          <w:szCs w:val="17"/>
        </w:rPr>
        <w:br/>
        <w:t>Ünite genelinde konular, günlük hayattan ve öğrencilerin somut deneyimlerinden örneklerle işlenir. Hac, umre ve kurban ibadetlerinin sosyal, kültürel ve ahlaki yönleriyle ilgili etkinliklere yer verilir.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Kazanım ve Açıklamaları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7.2.1. İslam’da hac ibadetinin önemini ayet ve hadisler ışığında yorumlar.</w:t>
      </w:r>
      <w:r>
        <w:rPr>
          <w:rFonts w:ascii="Arial" w:hAnsi="Arial" w:cs="Arial"/>
          <w:color w:val="333333"/>
          <w:sz w:val="17"/>
          <w:szCs w:val="17"/>
        </w:rPr>
        <w:br/>
        <w:t>- Haccın Müslümanların ahlaki gelişimlerine ve Müslümanlar arası iletişim ve etkileşime yaptığı katkılara da vurgu yapılır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7.2.2. Haccın yapılışını özetler.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Hac ile ilgili kavramlar (ihram,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şavt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tavaf,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sa’y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vakfe, zemzem,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Hacerülesved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) ve mekânlar (Kâbe, Safa Merve,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Mina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Müzdelife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Arafat) öğrenci düzeyi gözetilerek ayrıntıya girmeden ele alınır.</w:t>
      </w:r>
      <w:r>
        <w:rPr>
          <w:rFonts w:ascii="Arial" w:hAnsi="Arial" w:cs="Arial"/>
          <w:color w:val="333333"/>
          <w:sz w:val="17"/>
          <w:szCs w:val="17"/>
        </w:rPr>
        <w:br/>
        <w:t>- Haccın çeşitlerine girilmez.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7.2.3. Umre ibadeti ve önemini açıklar.</w:t>
      </w:r>
      <w:r>
        <w:rPr>
          <w:rFonts w:ascii="Arial" w:hAnsi="Arial" w:cs="Arial"/>
          <w:color w:val="333333"/>
          <w:sz w:val="17"/>
          <w:szCs w:val="17"/>
        </w:rPr>
        <w:br/>
        <w:t>- Hac ile umre arasındaki farklara da yer verilir.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lastRenderedPageBreak/>
        <w:t>7.2.4. Kurban ibadetini İslam’ın yardımlaşma ve dayanışmaya verdiği önem açısından değerlendirir.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Kurban ibadetinin hikmetine, kurban ile ilgili hükümlere; kurbanın kültürümüzdeki örneklerine (adak (nezir),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akika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gibi) kısaca değinilir.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Alevi Bektaşi geleneğindeki “Kurban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Tığlama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Duası”na da yer verilir.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7.2.5. Hz. İsmail’in (a.s.) hayatını ana hatlarıyla tanır.</w:t>
      </w:r>
      <w:r>
        <w:rPr>
          <w:rFonts w:ascii="Arial" w:hAnsi="Arial" w:cs="Arial"/>
          <w:color w:val="333333"/>
          <w:sz w:val="17"/>
          <w:szCs w:val="17"/>
        </w:rPr>
        <w:br/>
        <w:t>- Hz. İsmail’in (a.s.) Kâbe’nin inşasındaki rolüne değinilir.</w:t>
      </w:r>
      <w:r>
        <w:rPr>
          <w:rFonts w:ascii="Arial" w:hAnsi="Arial" w:cs="Arial"/>
          <w:color w:val="333333"/>
          <w:sz w:val="17"/>
          <w:szCs w:val="17"/>
        </w:rPr>
        <w:br/>
        <w:t>- Kazanım, sahih kaynaklarda yer alan rivayetler ışığında ayrıntıya girilmeden ve öğrenci düzeyi dikkate alınarak ele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 xml:space="preserve">7.2.6. </w:t>
      </w:r>
      <w:proofErr w:type="spellStart"/>
      <w:r>
        <w:rPr>
          <w:rStyle w:val="Gl"/>
          <w:rFonts w:ascii="Arial" w:hAnsi="Arial" w:cs="Arial"/>
          <w:color w:val="333333"/>
          <w:sz w:val="17"/>
          <w:szCs w:val="17"/>
        </w:rPr>
        <w:t>En’âm</w:t>
      </w:r>
      <w:proofErr w:type="spellEnd"/>
      <w:r>
        <w:rPr>
          <w:rStyle w:val="Gl"/>
          <w:rFonts w:ascii="Arial" w:hAnsi="Arial" w:cs="Arial"/>
          <w:color w:val="333333"/>
          <w:sz w:val="17"/>
          <w:szCs w:val="17"/>
        </w:rPr>
        <w:t xml:space="preserve"> suresi 162. ayeti okur, anlamını söyler.</w:t>
      </w:r>
      <w:r>
        <w:rPr>
          <w:rFonts w:ascii="Arial" w:hAnsi="Arial" w:cs="Arial"/>
          <w:color w:val="333333"/>
          <w:sz w:val="17"/>
          <w:szCs w:val="17"/>
        </w:rPr>
        <w:br/>
        <w:t>- Ayetle ilgili kısa açıklamalara yer verilir; ayette verilen mesajlar belirlenir.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Anahtar Kavramlar</w:t>
      </w:r>
      <w:r>
        <w:rPr>
          <w:rFonts w:ascii="Arial" w:hAnsi="Arial" w:cs="Arial"/>
          <w:color w:val="333333"/>
          <w:sz w:val="17"/>
          <w:szCs w:val="17"/>
        </w:rPr>
        <w:br/>
        <w:t>hac, umre, kurban.</w:t>
      </w:r>
      <w:r>
        <w:rPr>
          <w:rFonts w:ascii="Arial" w:hAnsi="Arial" w:cs="Arial"/>
          <w:color w:val="333333"/>
          <w:sz w:val="17"/>
          <w:szCs w:val="17"/>
        </w:rPr>
        <w:br/>
        <w:t> </w:t>
      </w:r>
    </w:p>
    <w:p w:rsidR="002617C8" w:rsidRPr="002617C8" w:rsidRDefault="002617C8" w:rsidP="002617C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z w:val="22"/>
          <w:szCs w:val="17"/>
        </w:rPr>
      </w:pPr>
      <w:r w:rsidRPr="002617C8">
        <w:rPr>
          <w:rStyle w:val="Gl"/>
          <w:rFonts w:ascii="Arial" w:hAnsi="Arial" w:cs="Arial"/>
          <w:color w:val="FF0000"/>
          <w:sz w:val="22"/>
          <w:szCs w:val="17"/>
        </w:rPr>
        <w:t>7.3. AHLAKİ DAVRANIŞLAR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Ünite Açıklaması</w:t>
      </w:r>
      <w:r>
        <w:rPr>
          <w:rFonts w:ascii="Arial" w:hAnsi="Arial" w:cs="Arial"/>
          <w:color w:val="333333"/>
          <w:sz w:val="17"/>
          <w:szCs w:val="17"/>
        </w:rPr>
        <w:br/>
        <w:t xml:space="preserve">Bu ünitede sırasıyla; “Güzel Ahlaki Tutum ve Davranışlar”, “Bir Peygamber Tanıyorum: Hz. Salih (a.s.)”, “Bir Sure Tanıyorum: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Felak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Suresi ve Anlamı” konularına yer verilir.</w:t>
      </w:r>
      <w:r>
        <w:rPr>
          <w:rFonts w:ascii="Arial" w:hAnsi="Arial" w:cs="Arial"/>
          <w:color w:val="333333"/>
          <w:sz w:val="17"/>
          <w:szCs w:val="17"/>
        </w:rPr>
        <w:br/>
        <w:t>Ünite genelinde konular, günlük hayattan ve öğrencilerin somut deneyimlerinden örneklerle işlenir. Konular; ayet ve hadisler başta olmak üzere, öğrenci seviyesine uygun atasözü, vecize, beyit, ilahi, nefes gibi edebî metinlerden yararlanılır.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Kazanım ve Açıklamaları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7.3.1. Güzel ahlaki tutum ve davranışları örneklerle açıklar.</w:t>
      </w:r>
      <w:r>
        <w:rPr>
          <w:rFonts w:ascii="Arial" w:hAnsi="Arial" w:cs="Arial"/>
          <w:color w:val="333333"/>
          <w:sz w:val="17"/>
          <w:szCs w:val="17"/>
        </w:rPr>
        <w:br/>
        <w:t>- Kazanımda; “adalet”, “dostluk”, “dürüstlük”, “öz denetim”, “sabır”, “saygı”, “sevgi”, “sorumluluk”, “vatanseverlik” ve “yardımseverlik” değerleri, ilişkili oldukları tutum ve davranışlarla birlikte ele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7.3.2. Örnek tutum ve davranışların, birey ve toplumların ahlaki gelişimine olan katkısını değerlendirir.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7.3.3. Tutum ve davranışlarında ölçülü olmaya özen gösterir.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7.3.4. Hz. Salih’in (a.s.) hayatını ana hatlarıyla tanır.</w:t>
      </w:r>
      <w:r>
        <w:rPr>
          <w:rFonts w:ascii="Arial" w:hAnsi="Arial" w:cs="Arial"/>
          <w:color w:val="333333"/>
          <w:sz w:val="17"/>
          <w:szCs w:val="17"/>
        </w:rPr>
        <w:br/>
        <w:t>Kazanım, sahih kaynaklarda yer alan rivayetler ışığında ayrıntıya girilmeden ve öğrenci düzeyi dikkate alınarak ele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 xml:space="preserve">7.3.5. </w:t>
      </w:r>
      <w:proofErr w:type="spellStart"/>
      <w:r>
        <w:rPr>
          <w:rStyle w:val="Gl"/>
          <w:rFonts w:ascii="Arial" w:hAnsi="Arial" w:cs="Arial"/>
          <w:color w:val="333333"/>
          <w:sz w:val="17"/>
          <w:szCs w:val="17"/>
        </w:rPr>
        <w:t>Felak</w:t>
      </w:r>
      <w:proofErr w:type="spellEnd"/>
      <w:r>
        <w:rPr>
          <w:rStyle w:val="Gl"/>
          <w:rFonts w:ascii="Arial" w:hAnsi="Arial" w:cs="Arial"/>
          <w:color w:val="333333"/>
          <w:sz w:val="17"/>
          <w:szCs w:val="17"/>
        </w:rPr>
        <w:t xml:space="preserve"> suresini okur, anlamını söyler.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Felak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suresi ile ilgili kısa açıklamalara yer verilir; surede verilen mesajlar belirlenir.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Anahtar Kavramlar</w:t>
      </w:r>
      <w:r>
        <w:rPr>
          <w:rFonts w:ascii="Arial" w:hAnsi="Arial" w:cs="Arial"/>
          <w:color w:val="333333"/>
          <w:sz w:val="17"/>
          <w:szCs w:val="17"/>
        </w:rPr>
        <w:br/>
        <w:t>ahlak, değer, tutum, davranış.</w:t>
      </w:r>
      <w:r>
        <w:rPr>
          <w:rFonts w:ascii="Arial" w:hAnsi="Arial" w:cs="Arial"/>
          <w:color w:val="333333"/>
          <w:sz w:val="17"/>
          <w:szCs w:val="17"/>
        </w:rPr>
        <w:br/>
        <w:t> </w:t>
      </w:r>
    </w:p>
    <w:p w:rsidR="002617C8" w:rsidRPr="002617C8" w:rsidRDefault="002617C8" w:rsidP="002617C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z w:val="22"/>
          <w:szCs w:val="17"/>
        </w:rPr>
      </w:pPr>
      <w:r w:rsidRPr="002617C8">
        <w:rPr>
          <w:rStyle w:val="Gl"/>
          <w:rFonts w:ascii="Arial" w:hAnsi="Arial" w:cs="Arial"/>
          <w:color w:val="FF0000"/>
          <w:sz w:val="22"/>
          <w:szCs w:val="17"/>
        </w:rPr>
        <w:t>7.4. ALLAH’IN KULU VE ELÇİSİ: HZ. MUHAMMED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Ünite Açıklaması</w:t>
      </w:r>
      <w:r>
        <w:rPr>
          <w:rFonts w:ascii="Arial" w:hAnsi="Arial" w:cs="Arial"/>
          <w:color w:val="333333"/>
          <w:sz w:val="17"/>
          <w:szCs w:val="17"/>
        </w:rPr>
        <w:br/>
        <w:t xml:space="preserve">Bu ünitede sırasıyla; “Allah’ın (c.c.) Kulu Hz. Muhammed (s.a.v.)”, “Allah’ın (c.c.) Elçisi Hz. Muhammed (s.a.v.)”, “Bir Sure Tanıyorum: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Kâfirun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Suresi ve Anlamı” konularına yer verilir.</w:t>
      </w:r>
      <w:r>
        <w:rPr>
          <w:rFonts w:ascii="Arial" w:hAnsi="Arial" w:cs="Arial"/>
          <w:color w:val="333333"/>
          <w:sz w:val="17"/>
          <w:szCs w:val="17"/>
        </w:rPr>
        <w:br/>
        <w:t>Ünite genelinde konular, günlük hayattan ve öğrencilerin somut deneyimlerinden örneklerle işlenir. Konular; ayet ve hadisler başta olmak üzere, Hz. Muhammed (s.a.v.) ile ilgili öğrenci düzeyine uygun atasözü, vecize, beyit, ilahi, nefes gibi edebî metinlerden yararlanılır.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Kazanım ve Açıklamaları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7.4.1. Hz. Muhammed’in (s.a.v.) insani yönünü ayetlerden hareketle yorumlar.</w:t>
      </w:r>
      <w:r>
        <w:rPr>
          <w:rFonts w:ascii="Arial" w:hAnsi="Arial" w:cs="Arial"/>
          <w:color w:val="333333"/>
          <w:sz w:val="17"/>
          <w:szCs w:val="17"/>
        </w:rPr>
        <w:br/>
        <w:t>Hz. Muhammed’i (s.a.v.) insani yönü ele alınırken onu diğer insanlardan ayıran en önemli özelliğin, “Allah’tan vahiy alması” olduğuna vurgu yapılır.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7.4.2. Hz. Muhammed’in (s.a.v.) peygamberlik yönüyle ilgili özelliklerini ayırt eder.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Hz. Muhammed’in (s.a.v.); son peygamber olmasına, rahmet peygamberi olmasına,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Kur’an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-ı Kerim’i açıklamasına, </w:t>
      </w:r>
      <w:r>
        <w:rPr>
          <w:rFonts w:ascii="Arial" w:hAnsi="Arial" w:cs="Arial"/>
          <w:color w:val="333333"/>
          <w:sz w:val="17"/>
          <w:szCs w:val="17"/>
        </w:rPr>
        <w:lastRenderedPageBreak/>
        <w:t>bütün insanlar için uyarıcı ve müjdeci olmasına, güzel ahlakı tamamlamak üzere gönderilmesine ayetler ve hadisler eşliğinde yer verilir.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 xml:space="preserve">7.4.3. </w:t>
      </w:r>
      <w:proofErr w:type="spellStart"/>
      <w:r>
        <w:rPr>
          <w:rStyle w:val="Gl"/>
          <w:rFonts w:ascii="Arial" w:hAnsi="Arial" w:cs="Arial"/>
          <w:color w:val="333333"/>
          <w:sz w:val="17"/>
          <w:szCs w:val="17"/>
        </w:rPr>
        <w:t>Kâfirun</w:t>
      </w:r>
      <w:proofErr w:type="spellEnd"/>
      <w:r>
        <w:rPr>
          <w:rStyle w:val="Gl"/>
          <w:rFonts w:ascii="Arial" w:hAnsi="Arial" w:cs="Arial"/>
          <w:color w:val="333333"/>
          <w:sz w:val="17"/>
          <w:szCs w:val="17"/>
        </w:rPr>
        <w:t xml:space="preserve"> suresini okur, anlamını söyler.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Kâfirun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suresi ile ilgili kısa açıklamalara yer verilir; surede verilen mesajlar belirlenir.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Anahtar Kavramlar</w:t>
      </w:r>
      <w:r>
        <w:rPr>
          <w:rFonts w:ascii="Arial" w:hAnsi="Arial" w:cs="Arial"/>
          <w:color w:val="333333"/>
          <w:sz w:val="17"/>
          <w:szCs w:val="17"/>
        </w:rPr>
        <w:br/>
      </w:r>
      <w:proofErr w:type="spellStart"/>
      <w:r>
        <w:rPr>
          <w:rFonts w:ascii="Arial" w:hAnsi="Arial" w:cs="Arial"/>
          <w:color w:val="333333"/>
          <w:sz w:val="17"/>
          <w:szCs w:val="17"/>
        </w:rPr>
        <w:t>risalet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nübüvvet,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hatemü’l</w:t>
      </w:r>
      <w:proofErr w:type="spellEnd"/>
      <w:r>
        <w:rPr>
          <w:rFonts w:ascii="Arial" w:hAnsi="Arial" w:cs="Arial"/>
          <w:color w:val="333333"/>
          <w:sz w:val="17"/>
          <w:szCs w:val="17"/>
        </w:rPr>
        <w:t>-enbiya.</w:t>
      </w:r>
    </w:p>
    <w:p w:rsidR="002617C8" w:rsidRPr="002617C8" w:rsidRDefault="002617C8" w:rsidP="002617C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z w:val="22"/>
          <w:szCs w:val="17"/>
        </w:rPr>
      </w:pPr>
    </w:p>
    <w:p w:rsidR="002617C8" w:rsidRPr="002617C8" w:rsidRDefault="002617C8" w:rsidP="002617C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z w:val="22"/>
          <w:szCs w:val="17"/>
        </w:rPr>
      </w:pPr>
      <w:r w:rsidRPr="002617C8">
        <w:rPr>
          <w:rStyle w:val="Gl"/>
          <w:rFonts w:ascii="Arial" w:hAnsi="Arial" w:cs="Arial"/>
          <w:color w:val="FF0000"/>
          <w:sz w:val="22"/>
          <w:szCs w:val="17"/>
        </w:rPr>
        <w:t>7.5. İSLAM DÜŞÜNCESİNDE YORUMLAR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Ünite Açıklaması</w:t>
      </w:r>
      <w:r>
        <w:rPr>
          <w:rFonts w:ascii="Arial" w:hAnsi="Arial" w:cs="Arial"/>
          <w:color w:val="333333"/>
          <w:sz w:val="17"/>
          <w:szCs w:val="17"/>
        </w:rPr>
        <w:br/>
        <w:t>Bu ünitede sırasıyla; “Din Anlayışındaki Yorum Farklılıklarının Sebepleri”, “İslam Düşüncesinde Yorum Biçimleri”, “İslam Düşüncesinde Tasavvufi Yorumlar” konularına yer verilir.</w:t>
      </w:r>
      <w:r>
        <w:rPr>
          <w:rFonts w:ascii="Arial" w:hAnsi="Arial" w:cs="Arial"/>
          <w:color w:val="333333"/>
          <w:sz w:val="17"/>
          <w:szCs w:val="17"/>
        </w:rPr>
        <w:br/>
        <w:t>Ünite genelinde İslam düşüncesindeki yorum farklılıkları; ana hatlarıyla öğrenci düzeyine uygun olarak ele alınır; nesnel ve tasviri (betimleyici) bir anlatım esas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Kazanım ve Açıklamaları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7.5.1. Dinin farklı yorum biçimleri olabileceğinin farkına varır.</w:t>
      </w:r>
      <w:r>
        <w:rPr>
          <w:rFonts w:ascii="Arial" w:hAnsi="Arial" w:cs="Arial"/>
          <w:color w:val="333333"/>
          <w:sz w:val="17"/>
          <w:szCs w:val="17"/>
        </w:rPr>
        <w:br/>
        <w:t>- Din anlayışındaki yorum farklılıklarının sebepleri ayrıntıya girilmeden ele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7.5.2. İslam düşüncesinde ortaya çıkan yorum biçimlerini sınıflandırır.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İslam düşüncesinde ortaya çıkan yorumlar; inançla ilgili yorumlar,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fıkhi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yorumlar ve tasavvufi yorumlar şeklinde ele alınır.</w:t>
      </w:r>
    </w:p>
    <w:p w:rsidR="002617C8" w:rsidRDefault="002617C8" w:rsidP="002617C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7.5.3. Kültürümüzde etkin olan tasavvufi yorumları ayırt eder.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Kültürümüzde etkin olan tasavvufi yorumlardan;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Yesevilik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, Kadirilik, Mevlevilik,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Nakşibendilik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ve Alevilik Bektaşilik konularına öğrenci düzeyine uygun olarak yer verilir.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Style w:val="Gl"/>
          <w:rFonts w:ascii="Arial" w:hAnsi="Arial" w:cs="Arial"/>
          <w:color w:val="333333"/>
          <w:sz w:val="17"/>
          <w:szCs w:val="17"/>
        </w:rPr>
        <w:t>7.5.4. Alevilik-Bektaşilikle ilgili temel kavram ve erkânları açıklar.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Cem ve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cemevi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musahiplik, razılık ve kul hakkının sorulması, cemde on iki hizmet, semah, gülbank, Hızır ve Muharrem orucuna ve uygulanma şekline yer verilir.</w:t>
      </w:r>
      <w:r>
        <w:rPr>
          <w:rFonts w:ascii="Arial" w:hAnsi="Arial" w:cs="Arial"/>
          <w:color w:val="333333"/>
          <w:sz w:val="17"/>
          <w:szCs w:val="17"/>
        </w:rPr>
        <w:br/>
        <w:t>Bu kapsamda;</w:t>
      </w:r>
      <w:r>
        <w:rPr>
          <w:rFonts w:ascii="Arial" w:hAnsi="Arial" w:cs="Arial"/>
          <w:color w:val="333333"/>
          <w:sz w:val="17"/>
          <w:szCs w:val="17"/>
        </w:rPr>
        <w:br/>
        <w:t xml:space="preserve">- Alevilik-Bektaşilikteki “ocak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kültürü”ne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ve “el ele, el hakka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ikrarı”na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yer verilir; Bektaşilikte musahipliğe “ikrar ve nasip alma” da denildiğine ve bu kavramın İslam tarihindeki muhacir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ensar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kardeşliğine dayandırıldığına değinilir.</w:t>
      </w:r>
      <w:r>
        <w:rPr>
          <w:rFonts w:ascii="Arial" w:hAnsi="Arial" w:cs="Arial"/>
          <w:color w:val="333333"/>
          <w:sz w:val="17"/>
          <w:szCs w:val="17"/>
        </w:rPr>
        <w:br/>
        <w:t xml:space="preserve"> -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Cemevi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;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âyin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-i cem erkânının yapıldığı, “yol, adap ve erkân yeri” olarak nitelendirilir; Bektaşilikte ise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cemevi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yerine “meydan evi” ifadesinin kullanıldığına değinilir. “Görgü cemi”, “İkrar cemi” ve “Abdal Musa cemi”nden bahsedilir.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Âyin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-i cem ve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cemevi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ile ilgili görsellere yer verilir.</w:t>
      </w:r>
      <w:r>
        <w:rPr>
          <w:rFonts w:ascii="Arial" w:hAnsi="Arial" w:cs="Arial"/>
          <w:color w:val="333333"/>
          <w:sz w:val="17"/>
          <w:szCs w:val="17"/>
        </w:rPr>
        <w:br/>
        <w:t>- Alevilik-Bektaşilikte duaların başında, “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Bismişah</w:t>
      </w:r>
      <w:proofErr w:type="spellEnd"/>
      <w:r>
        <w:rPr>
          <w:rFonts w:ascii="Arial" w:hAnsi="Arial" w:cs="Arial"/>
          <w:color w:val="333333"/>
          <w:sz w:val="17"/>
          <w:szCs w:val="17"/>
        </w:rPr>
        <w:t>”, sonunda ise “Allah Allah” lafzının söylendiğine değinilir. “Gülbank” konusunda ise “Lokma Duasına” yer verilir.</w:t>
      </w:r>
    </w:p>
    <w:p w:rsidR="002617C8" w:rsidRDefault="002617C8" w:rsidP="00261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Style w:val="Gl"/>
          <w:rFonts w:ascii="Arial" w:hAnsi="Arial" w:cs="Arial"/>
          <w:color w:val="333333"/>
          <w:sz w:val="17"/>
          <w:szCs w:val="17"/>
        </w:rPr>
        <w:t>Anahtar Kavramlar</w:t>
      </w:r>
      <w:r>
        <w:rPr>
          <w:rFonts w:ascii="Arial" w:hAnsi="Arial" w:cs="Arial"/>
          <w:color w:val="333333"/>
          <w:sz w:val="17"/>
          <w:szCs w:val="17"/>
        </w:rPr>
        <w:br/>
        <w:t xml:space="preserve">itikat, fıkıh, mezhep, tasavvuf,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âyin</w:t>
      </w:r>
      <w:proofErr w:type="spellEnd"/>
      <w:r>
        <w:rPr>
          <w:rFonts w:ascii="Arial" w:hAnsi="Arial" w:cs="Arial"/>
          <w:color w:val="333333"/>
          <w:sz w:val="17"/>
          <w:szCs w:val="17"/>
        </w:rPr>
        <w:t>, erkân.</w:t>
      </w:r>
      <w:r>
        <w:rPr>
          <w:rFonts w:ascii="Arial" w:hAnsi="Arial" w:cs="Arial"/>
          <w:color w:val="333333"/>
          <w:sz w:val="17"/>
          <w:szCs w:val="17"/>
        </w:rPr>
        <w:br/>
        <w:t> </w:t>
      </w:r>
    </w:p>
    <w:p w:rsidR="00193209" w:rsidRDefault="00193209"/>
    <w:sectPr w:rsidR="0019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617C8"/>
    <w:rsid w:val="00193209"/>
    <w:rsid w:val="0026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61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2023-07-27T12:14:00Z</dcterms:created>
  <dcterms:modified xsi:type="dcterms:W3CDTF">2023-07-27T12:14:00Z</dcterms:modified>
</cp:coreProperties>
</file>