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900" w:type="dxa"/>
        <w:gridCol w:w="600" w:type="dxa"/>
        <w:gridCol w:w="600" w:type="dxa"/>
        <w:gridCol w:w="1300" w:type="dxa"/>
        <w:gridCol w:w="1600" w:type="dxa"/>
        <w:gridCol w:w="2300" w:type="dxa"/>
        <w:gridCol w:w="3500" w:type="dxa"/>
        <w:gridCol w:w="2033" w:type="dxa"/>
        <w:gridCol w:w="2533" w:type="dxa"/>
        <w:gridCol w:w="1914" w:type="dxa"/>
      </w:tblGrid>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Tarih</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Saat</w:t>
            </w:r>
          </w:p>
        </w:tc>
        <w:tc>
          <w:tcPr>
            <w:tcW w:w="13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Ünite</w:t>
            </w:r>
          </w:p>
        </w:tc>
        <w:tc>
          <w:tcPr>
            <w:tcW w:w="16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Konu</w:t>
            </w:r>
          </w:p>
        </w:tc>
        <w:tc>
          <w:tcPr>
            <w:tcW w:w="23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Kazanım</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Açıklama</w:t>
            </w:r>
          </w:p>
        </w:tc>
        <w:tc>
          <w:tcPr>
            <w:tcW w:w="2033"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Yöntem Teknik</w:t>
            </w:r>
          </w:p>
        </w:tc>
        <w:tc>
          <w:tcPr>
            <w:tcW w:w="2533"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Araç Gereç</w:t>
            </w:r>
          </w:p>
        </w:tc>
        <w:tc>
          <w:tcPr>
            <w:tcW w:w="1914"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Değerlendirme</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Eylül</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 ve İslam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1.1.1. İman ve İslam kavramlarını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İman ve İslam kavramları arasındaki ilişkiye değinilir, kavramların mahiyetiyle ilgili tartışmalara girilmez.</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Eylül</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 ve İslam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1.1.1. İman ve İslam kavramlarını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İman ve İslam kavramları arasındaki ilişkiye değinilir, kavramların mahiyetiyle ilgili tartışmalara girilmez.</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Eylül</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Kelime-i tevhid ve Kelime-i şehadet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1.1.2. Kelimeitevhid ve Kelimeişehadet ile anlamlarını söyler.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Kelimei-t evhid ve Kelime-i şehadet kavramları arasındaki mahiyet farkına değinilir, kavramların anlamları üzerinde durulur, kavramlarla ilgili hat, tezhip gibi görsellerden yararlanılır.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29-03 Eylül-Ekim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4.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Kelime-i tevhid ve Kelimeişehadet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1.1.2. Kelimeitevhid ve Kelimeişehadet ile anlamlarını söyler.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Kelimei-t evhid ve Kelime-i şehadet kavramları arasındaki mahiyet farkına değinilir, kavramların anlamları üzerinde durulur, kavramlarla ilgili hat, tezhip gibi görsellerden yararlanılır.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Ekim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5.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İmanın İnsana Kazandırdıkları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1.1.3. İmanın insana kazandırdığı özellikleri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Ekim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6.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İmanın İnsana Kazandırdıkları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1.1.3. İmanın insana kazandırdığı özellikleri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Ekim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7.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 Bakımından İnsanlar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1.1.4. İman bakımından insanların sınıflandırılmasına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Mümin, kâfir ve münafık konuları ele alınır. Ayrıca müşrik ve ehlikitap kavramlarına öğrenci düzeyi dikkate alınarak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27-31 Ekim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8.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 Bakımından İnsanlar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1.1.4. İman bakımından insanların sınıflandırılmasına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Mümin, kâfir ve münafık konuları ele alınır. Ayrıca müşrik ve ehlikitap kavramlarına öğrenci düzeyi dikkate alınarak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03-07 Kasım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9.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İMAN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Esmayıhüsnayı Tanıyorum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1.1.5. Esmayıhüsnadan Allah (cc), Vâhid, Ehad, Mümin isimlerini
                <w:br/>
tanır.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9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17-21 Kasım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10.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İmanın Göstergesi: İbadet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1.2.1. İbadet kavramını ve ibadetin yapılma gayesini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İman ve ibadet arasındaki ilişkiye yer verilir ibadetin imandan bir cüz olup olmadığı gibi tartışmalara girilmez.</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24-28 Kasım</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İmanın Göstergesi: İbadet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1.2.1. İbadet kavramını ve ibadetin yapılma gayesini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İman ve ibadet arasındaki ilişkiye yer verilir ibadetin imandan bir cüz olup olmadığı gibi tartışmalara girilmez.</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Aralık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İbadetin Kabul Şartları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1.2.2. İbadetin kabul şartlarını sayar.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Niyet, ihlas ve sünnete uygunluk konularına yer verilir.
                <w:br/>
İbadetin şeklinin, sayısının, zamanının Şari tarafından belirlendiğine vurgu yapılacaktır.
              </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Aralık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İbadetin Kabul Şartları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1.2.2. İbadetin kabul şartlarını sayar.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Niyet, ihlas ve sünnete uygunluk konularına yer verilir.
                <w:br/>
İbadetin şeklinin, sayısının, zamanının Şari tarafından belirlendiğine vurgu yapılacaktır.
              </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Aralık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14.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 ve Salih Amel</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1.2.3. İbadetlerle salih amelleri ilişkilendirir.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İbadet ve salih amel arasındaki ilişki ele alınır vakitleri belirlenmiş ibadetler ile belirli bir vakte bağlı olmayan ibadetlere değinilir.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Aralık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 ve Salih Amel</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1.2.3. İbadetlerle salih amelleri ilişkilendirir.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 okumak, anne ve babaya itaat, sılayırahim, Allahı zikir, helal kazanç gibi salih amellere örnekler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29-02 Aralık-Ocak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İbadetlerin İnsana  Kazandırdıkları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1.2.4. İbadetin insana kazandırdığı ahlaki olgunluğu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05-09 Ocak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İbadetlerin İnsana  Kazandırdıkları</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1.2.4. İbadetin insana kazandırdığı ahlaki olgunluğu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12-16 Ocak</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9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Şubat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19.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İBADET VE İNSAN</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Esmayıhüsnayı Tanıyorum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1.2.5. Esmayıhüsnadan Samed, Rakîb, Vedûd isimlerini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Şubat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Müminlerin Özü ve Sözü Doğrudur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1.3.1. Ayet ve hadislerden hareketle doğrulukla ilgili çıkarımlarda bulunur.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Asrısaadetten ve tarihimizden örnek olaylara yer verilir, öğrencilerin konuyu kavramasına yönelik düzeye uygun etinlikler tasarlanır.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16-20 Şubat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21.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Müminlerin Özü ve Sözü Doğrudur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1.3.1. Ayet ve hadislerden hareketle doğrulukla ilgili çıkarımlarda bulunur.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Asrısaadetten ve tarihimizden örnek olaylara yer verilir, öğrencilerin konuyu kavramasına yönelik düzeye uygun etinlikler tasarlanır.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Şubat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Müminler Namazlarına Özen
                <w:br/>
Gösterirler
              </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1.3.2. Namazı özenli kılmanın müminlerin en önemli özelliklerinden biri
                <w:br/>
olduğunu fark eder.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Huşu kavramına öğrenci düzeyi dikkate alınarak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Mart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Müminler Namazlarına Özen
                <w:br/>
Gösterirler
              </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1.3.2. Namazı özenli kılmanın müminlerin en önemli özelliklerinden biri
                <w:br/>
olduğunu fark eder.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Huşu kavramına öğrenci düzeyi dikkate alınarak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Mart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 İyiliği Emreder, Kötülüğü Engellerler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1.3.3. Müminlerin iyiliği emretmek, kötülüğü engellemekle ilgili
                <w:br/>
sorumluluklarını değerlendirir.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İyiliği emretme ve kötülüğü engellemenin bireysel ve toplumsal yönü ile kamu otoritesini ilgilendiren alanları seviyeye uygun örneklerle ele alınır.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9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Mart</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 İyiliği Emreder, Kötülüğü Engellerler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1.3.3. Müminlerin iyiliği emretmek, kötülüğü engellemekle ilgili
                <w:br/>
sorumluluklarını değerlendirir.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İyiliği emretme ve kötülüğü engellemenin bireysel ve toplumsal yönü ile kamu otoritesini ilgilendiren alanları seviyeye uygun örneklerle ele alınır.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30-03 Mart-Nisan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26.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 Yoksulun Hakkını Gözetirler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1.3.4. Yoksulun hakkını gözetmenin önemli bir dinî görev olduğunu savunur.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Yoksulun hakkını gözetme konusunda tarihî ve güncel olaylardan örnekler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Nisan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Müminler İsraftan ve Cimrilikten Sakınırlar</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1.3.5. İsraf ve cimriliğin önemli birer ahlaki zafiyet olduğunu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Nisan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28.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MÜMİNLERİN ÖZELLİKLERİ</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Esmayıhüsnayı Tanıyorum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1.3.6. Esmayıhüsnadan Bâsit, Muhsin, Mani isimlerini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Nisan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İslamın Göstergesi: Nezaket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1.4.1. Nezaketin kişinin Müslümanlığının önemli tezahürü olduğunu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Nezaket kavramı edep kavramıyla ilişkilendirilerek ele alınır ve nezaketin bir Müslümanın ahlaki olgunluğunu yansıtan önemli göstergelerden biri olduğuna vurgu yapılır.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27-01 Nisan-Mayıs</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İslamın Göstergesi: Nezaket</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1.4.1. Nezaketin kişinin Müslümanlığının önemli tezahürü olduğunu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Nezaket kavramı edep kavramıyla ilişkilendirilerek ele alınır ve nezaketin bir Müslümanın ahlaki olgunluğunu yansıtan önemli göstergelerden biri olduğuna vurgu yapılır.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04-08 Mayıs</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31.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Kuran-ı Kerimden Nezaket
                <w:br/>
Örnekleri
              </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1.4.2. Kuran-ı Kerimden nezaket örneklerini sıralar.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Bakara suresi 83. ayet, Âl-i İmrân suresi 159. ayet, Tâhâ suresi 43-44. ayetler, Hucurât suresi 11-12. ayetler, Hümeze suresi 1-2. ayetler gibi nezaket örnekliği teşkil eden ayeti kerimelerden örnekler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11-15 Mayıs</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32.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Kuran-ı Kerimden Nezaket Örnekleri</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1.4.2. Kuran-ı Kerimden nezaket örneklerini sıralar.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Bakara suresi 83. ayet, Âl-i İmrân suresi 159. ayet, Tâhâ suresi 43-44. ayetler, Hucurât suresi 11-12. ayetler, Hümeze suresi 1-2. ayetler gibi nezaket örnekliği teşkil eden ayeti kerimelerden örnekler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18-22 Mayıs</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33.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Peygamberimizden (sav) Nezaket Örnekleri</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1.4.3. Peygamberimizin (sav) sünnetinden nezaketle ilgili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sünnetinden nezaketle ilgili örneklerin yanı sıra Hz. Âişe (ra), Hz. Ali (ra), Enes b. Malik (ra) ve Hind Ebi Hale (ra) gibi sahabilerin şahitliğiyle Peygamberimizin nezaketinin anlatıldığı rivayetlerin verilmesine özen gösterilir.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25-29 Mayıs</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34.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Peygamberimizden (sav) Nezaket Örnekleri</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1.4.3. Peygamberimizin (sav) sünnetinden nezaketle ilgili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sünnetinden nezaketle ilgili örneklerin yanı sıra Hz. Âişe (ra), Hz. Ali (ra), Enes b. Malik (ra) ve Hind Ebi Hale (ra) gibi sahabilerin şahitliğiyle Peygamberimizin nezaketinin anlatıldığı rivayetlerin verilmesine özen gösterilir.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Haziran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35.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Geleneğimizden Nezaket Örnekleri</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1.4.4. Geleneğimizde yer alan nezaket örneklerini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Geleneğimizde öne çıkan nezaket kuralları ele alınır. Bu bağlamda İslam büyükleri, tarihî şahsiyetler, âlim ve edipler gibi geleneğimizin oluşmasında önemli rolü olan kişilerin nezaketle ilgili söz ve davranışlarından örnekler verilmesine özen gösterilir.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Haziran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36.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Geleneğimizden Nezaket Örnekleri</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1.4.5. Nezaket ölçülerine riayet etmeye istekli olur.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Haziran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37.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NEZAKET</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Esmayıhüsnayı Tanıyorum</w:t>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1.4.6. Esmayıhüsnadan Halîm, Latîf, Refîk isimlerini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9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Haziran</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38. Hafta</w:t>
            </w:r>
          </w:p>
        </w:tc>
        <w:tc>
          <w:tcPr>
            <w:tcW w:w="6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16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2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20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5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9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5. SINIF TEMEL DİNİ BİLGİLER - İSLAM 1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5. SINIF TEMEL DİNİ BİLGİLER - İSLAM 1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2025-09-10T00:36:04+03:00</dcterms:created>
  <dcterms:modified xsi:type="dcterms:W3CDTF">2025-09-10T00:36:04+03:00</dcterms:modified>
</cp:coreProperties>
</file>

<file path=docProps/custom.xml><?xml version="1.0" encoding="utf-8"?>
<Properties xmlns="http://schemas.openxmlformats.org/officeDocument/2006/custom-properties" xmlns:vt="http://schemas.openxmlformats.org/officeDocument/2006/docPropsVTypes"/>
</file>